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B4" w:rsidRDefault="004F12EE" w:rsidP="001C2026">
      <w:pPr>
        <w:pStyle w:val="BodyText"/>
        <w:ind w:left="6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78111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commerc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1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B4" w:rsidRDefault="00073AB4" w:rsidP="001C2026">
      <w:pPr>
        <w:pStyle w:val="BodyText"/>
        <w:spacing w:before="8"/>
        <w:rPr>
          <w:b/>
          <w:sz w:val="24"/>
        </w:rPr>
      </w:pPr>
    </w:p>
    <w:p w:rsidR="00073AB4" w:rsidRDefault="004A1A7C" w:rsidP="00D50662">
      <w:pPr>
        <w:ind w:left="720"/>
        <w:jc w:val="center"/>
        <w:rPr>
          <w:b/>
          <w:sz w:val="32"/>
        </w:rPr>
      </w:pPr>
      <w:r>
        <w:rPr>
          <w:b/>
          <w:sz w:val="32"/>
          <w:u w:val="thick"/>
        </w:rPr>
        <w:t>Quality Jobs Program - 201</w:t>
      </w:r>
      <w:r w:rsidR="001C2026">
        <w:rPr>
          <w:b/>
          <w:sz w:val="32"/>
          <w:u w:val="thick"/>
        </w:rPr>
        <w:t>9</w:t>
      </w:r>
    </w:p>
    <w:p w:rsidR="00073AB4" w:rsidRDefault="00073AB4" w:rsidP="001C2026">
      <w:pPr>
        <w:pStyle w:val="BodyText"/>
        <w:spacing w:before="2"/>
        <w:rPr>
          <w:b/>
          <w:sz w:val="16"/>
        </w:rPr>
      </w:pPr>
    </w:p>
    <w:p w:rsidR="00073AB4" w:rsidRDefault="004A1A7C" w:rsidP="000A76A6">
      <w:pPr>
        <w:pStyle w:val="BodyText"/>
        <w:spacing w:before="57"/>
        <w:ind w:left="720" w:right="114"/>
      </w:pPr>
      <w:r>
        <w:t xml:space="preserve">This “cash-back” job creation incentive has </w:t>
      </w:r>
      <w:r>
        <w:t xml:space="preserve">nationally </w:t>
      </w:r>
      <w:r w:rsidR="00D50662">
        <w:t>highlighted</w:t>
      </w:r>
      <w:r>
        <w:t xml:space="preserve"> Oklahoma </w:t>
      </w:r>
      <w:r>
        <w:t>as a location for new manufacturing and service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investment.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innovative</w:t>
      </w:r>
      <w:r>
        <w:rPr>
          <w:spacing w:val="-10"/>
        </w:rPr>
        <w:t xml:space="preserve"> </w:t>
      </w:r>
      <w:r>
        <w:t>Oklahoma</w:t>
      </w:r>
      <w:r>
        <w:rPr>
          <w:spacing w:val="-12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Jobs</w:t>
      </w:r>
      <w:r>
        <w:rPr>
          <w:spacing w:val="-1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allows</w:t>
      </w:r>
      <w:r>
        <w:rPr>
          <w:spacing w:val="-8"/>
        </w:rPr>
        <w:t xml:space="preserve"> </w:t>
      </w:r>
      <w:r>
        <w:t>qualifying</w:t>
      </w:r>
      <w:r>
        <w:rPr>
          <w:spacing w:val="-10"/>
        </w:rPr>
        <w:t xml:space="preserve"> </w:t>
      </w:r>
      <w:r>
        <w:t>businesses</w:t>
      </w:r>
      <w:r>
        <w:rPr>
          <w:spacing w:val="-9"/>
        </w:rPr>
        <w:t xml:space="preserve"> </w:t>
      </w:r>
      <w:r>
        <w:t>creating new quality jobs to receive a special incentive to locate or expand in</w:t>
      </w:r>
      <w:r>
        <w:rPr>
          <w:spacing w:val="-9"/>
        </w:rPr>
        <w:t xml:space="preserve"> </w:t>
      </w:r>
      <w:r>
        <w:t>Oklahoma.</w:t>
      </w:r>
    </w:p>
    <w:p w:rsidR="00073AB4" w:rsidRDefault="00073AB4" w:rsidP="001C2026">
      <w:pPr>
        <w:pStyle w:val="BodyText"/>
        <w:ind w:left="720"/>
      </w:pPr>
    </w:p>
    <w:p w:rsidR="001C2026" w:rsidRPr="00D50662" w:rsidRDefault="001C2026" w:rsidP="000A76A6">
      <w:pPr>
        <w:pStyle w:val="TaxGuide2"/>
        <w:ind w:left="720"/>
        <w:jc w:val="center"/>
        <w:rPr>
          <w:sz w:val="24"/>
          <w:szCs w:val="24"/>
          <w:u w:val="none"/>
        </w:rPr>
      </w:pPr>
      <w:r w:rsidRPr="00D50662">
        <w:rPr>
          <w:sz w:val="24"/>
          <w:szCs w:val="24"/>
          <w:u w:val="none"/>
        </w:rPr>
        <w:t>Qualifying companies receive quarterly cash payments of up to 5% of new payroll for up to 10 years.</w:t>
      </w:r>
    </w:p>
    <w:p w:rsidR="00073AB4" w:rsidRDefault="004A1A7C" w:rsidP="00A85B8A">
      <w:pPr>
        <w:pStyle w:val="BodyText"/>
        <w:spacing w:before="120"/>
        <w:ind w:left="720" w:right="115"/>
      </w:pPr>
      <w:r>
        <w:t>To qualify, a company must be a central administrative office, manufacturer, researcher and developer or engaged in a qualifying industry NAICS code.</w:t>
      </w:r>
    </w:p>
    <w:p w:rsidR="00073AB4" w:rsidRDefault="004A1A7C" w:rsidP="001C2026">
      <w:pPr>
        <w:pStyle w:val="ListParagraph"/>
        <w:numPr>
          <w:ilvl w:val="0"/>
          <w:numId w:val="2"/>
        </w:numPr>
        <w:spacing w:before="60"/>
        <w:ind w:left="1166" w:right="116" w:hanging="360"/>
      </w:pPr>
      <w:r>
        <w:t xml:space="preserve">A company must achieve a </w:t>
      </w:r>
      <w:r w:rsidRPr="0035684B">
        <w:rPr>
          <w:b/>
        </w:rPr>
        <w:t>$2.5 million taxable payroll</w:t>
      </w:r>
      <w:r>
        <w:t xml:space="preserve"> for any </w:t>
      </w:r>
      <w:r>
        <w:t>four</w:t>
      </w:r>
      <w:r>
        <w:t xml:space="preserve"> consecutive quarters </w:t>
      </w:r>
      <w:r>
        <w:t>during the first 12 quarters in the program and have an average wage equal to or above the average county wage in which the company is locating or</w:t>
      </w:r>
      <w:r>
        <w:rPr>
          <w:spacing w:val="-5"/>
        </w:rPr>
        <w:t xml:space="preserve"> </w:t>
      </w:r>
      <w:r>
        <w:t>expanding.</w:t>
      </w:r>
    </w:p>
    <w:p w:rsidR="00073AB4" w:rsidRDefault="004A1A7C" w:rsidP="001C2026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60"/>
        <w:ind w:left="1166" w:right="116" w:hanging="360"/>
      </w:pPr>
      <w:r>
        <w:t xml:space="preserve">Presently, wage requirements do not exceed </w:t>
      </w:r>
      <w:r w:rsidRPr="0035684B">
        <w:rPr>
          <w:b/>
        </w:rPr>
        <w:t>$3</w:t>
      </w:r>
      <w:r w:rsidR="001C2026" w:rsidRPr="0035684B">
        <w:rPr>
          <w:b/>
        </w:rPr>
        <w:t>4,26</w:t>
      </w:r>
      <w:r w:rsidRPr="0035684B">
        <w:rPr>
          <w:b/>
        </w:rPr>
        <w:t>3</w:t>
      </w:r>
      <w:r>
        <w:t xml:space="preserve"> in any county, regardless of the average county wage. The minimum wag</w:t>
      </w:r>
      <w:r w:rsidR="00A85B8A">
        <w:t>e requirements do not apply to O</w:t>
      </w:r>
      <w:r>
        <w:t>pportunity</w:t>
      </w:r>
      <w:r>
        <w:rPr>
          <w:spacing w:val="1"/>
        </w:rPr>
        <w:t xml:space="preserve"> </w:t>
      </w:r>
      <w:r w:rsidR="00A85B8A">
        <w:t>Z</w:t>
      </w:r>
      <w:r>
        <w:t>ones.</w:t>
      </w:r>
    </w:p>
    <w:p w:rsidR="00073AB4" w:rsidRDefault="004A1A7C" w:rsidP="001C2026">
      <w:pPr>
        <w:pStyle w:val="ListParagraph"/>
        <w:numPr>
          <w:ilvl w:val="0"/>
          <w:numId w:val="2"/>
        </w:numPr>
        <w:spacing w:before="60"/>
        <w:ind w:left="1166" w:hanging="360"/>
      </w:pPr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A85B8A">
        <w:rPr>
          <w:spacing w:val="-11"/>
        </w:rPr>
        <w:t xml:space="preserve">threshold is </w:t>
      </w:r>
      <w:r>
        <w:t>achieve</w:t>
      </w:r>
      <w:r w:rsidR="00A85B8A">
        <w:t>d</w:t>
      </w:r>
      <w:r>
        <w:t>,</w:t>
      </w:r>
      <w:r>
        <w:rPr>
          <w:spacing w:val="-8"/>
        </w:rPr>
        <w:t xml:space="preserve"> </w:t>
      </w:r>
      <w:r w:rsidR="00A85B8A">
        <w:rPr>
          <w:spacing w:val="-8"/>
        </w:rPr>
        <w:t>the company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remainder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A85B8A">
        <w:t>10</w:t>
      </w:r>
      <w:r>
        <w:t>-year</w:t>
      </w:r>
      <w:r>
        <w:rPr>
          <w:spacing w:val="-12"/>
        </w:rPr>
        <w:t xml:space="preserve"> </w:t>
      </w:r>
      <w:r>
        <w:t>period.</w:t>
      </w:r>
    </w:p>
    <w:p w:rsidR="00073AB4" w:rsidRDefault="004A1A7C" w:rsidP="001C2026">
      <w:pPr>
        <w:pStyle w:val="ListParagraph"/>
        <w:numPr>
          <w:ilvl w:val="0"/>
          <w:numId w:val="2"/>
        </w:numPr>
        <w:spacing w:before="60"/>
        <w:ind w:left="1166" w:right="117" w:hanging="360"/>
      </w:pPr>
      <w:r>
        <w:t>Once the threshold is achieved, a company must maintain the $2.5 million payroll</w:t>
      </w:r>
      <w:r w:rsidR="00A85B8A">
        <w:t xml:space="preserve"> (</w:t>
      </w:r>
      <w:r>
        <w:t>includi</w:t>
      </w:r>
      <w:r w:rsidR="00A85B8A">
        <w:t>ng the average wage requirement)</w:t>
      </w:r>
      <w:r>
        <w:t xml:space="preserve"> to qualify for incentive payments during any</w:t>
      </w:r>
      <w:r>
        <w:rPr>
          <w:spacing w:val="-6"/>
        </w:rPr>
        <w:t xml:space="preserve"> </w:t>
      </w:r>
      <w:r>
        <w:t>quarter.</w:t>
      </w:r>
    </w:p>
    <w:p w:rsidR="00073AB4" w:rsidRDefault="004A1A7C" w:rsidP="001C2026">
      <w:pPr>
        <w:pStyle w:val="ListParagraph"/>
        <w:numPr>
          <w:ilvl w:val="0"/>
          <w:numId w:val="2"/>
        </w:numPr>
        <w:spacing w:before="60"/>
        <w:ind w:left="1166" w:right="115" w:hanging="360"/>
      </w:pPr>
      <w:r>
        <w:t>Qualifying companies must offer health insurance and the employee must not pay more than 50% of the costs of the health</w:t>
      </w:r>
      <w:r>
        <w:rPr>
          <w:spacing w:val="-1"/>
        </w:rPr>
        <w:t xml:space="preserve"> </w:t>
      </w:r>
      <w:r>
        <w:t>insurance.</w:t>
      </w:r>
    </w:p>
    <w:p w:rsidR="00073AB4" w:rsidRDefault="004A1A7C" w:rsidP="001C2026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60"/>
        <w:ind w:left="1166" w:hanging="360"/>
      </w:pPr>
      <w:r>
        <w:t>80% of employees must w</w:t>
      </w:r>
      <w:r>
        <w:t>ork at least 30 hours per</w:t>
      </w:r>
      <w:r>
        <w:rPr>
          <w:spacing w:val="-8"/>
        </w:rPr>
        <w:t xml:space="preserve"> </w:t>
      </w:r>
      <w:r>
        <w:t>week.</w:t>
      </w:r>
    </w:p>
    <w:p w:rsidR="00073AB4" w:rsidRDefault="004A1A7C" w:rsidP="001C2026">
      <w:pPr>
        <w:pStyle w:val="ListParagraph"/>
        <w:numPr>
          <w:ilvl w:val="0"/>
          <w:numId w:val="2"/>
        </w:numPr>
        <w:spacing w:before="60"/>
        <w:ind w:left="1166" w:hanging="360"/>
      </w:pPr>
      <w:r>
        <w:t>Service companies must prove 75% out</w:t>
      </w:r>
      <w:r w:rsidR="00A85B8A">
        <w:t>-</w:t>
      </w:r>
      <w:r>
        <w:t>of</w:t>
      </w:r>
      <w:r w:rsidR="00A85B8A">
        <w:t>-</w:t>
      </w:r>
      <w:r>
        <w:t>state sales to</w:t>
      </w:r>
      <w:r>
        <w:rPr>
          <w:spacing w:val="-7"/>
        </w:rPr>
        <w:t xml:space="preserve"> </w:t>
      </w:r>
      <w:r>
        <w:t>qualify.</w:t>
      </w:r>
    </w:p>
    <w:p w:rsidR="001C2026" w:rsidRDefault="001C2026" w:rsidP="001C2026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60"/>
        <w:ind w:left="1166" w:right="115" w:hanging="360"/>
      </w:pPr>
      <w:r>
        <w:t>A higher net benefit rate of up to 6% is available for companies whose newly created payroll will include 10% or more qualified military</w:t>
      </w:r>
      <w:r>
        <w:rPr>
          <w:spacing w:val="-4"/>
        </w:rPr>
        <w:t xml:space="preserve"> </w:t>
      </w:r>
      <w:r>
        <w:t>veterans.</w:t>
      </w:r>
    </w:p>
    <w:p w:rsidR="00073AB4" w:rsidRDefault="00073AB4" w:rsidP="001C2026">
      <w:pPr>
        <w:pStyle w:val="BodyText"/>
        <w:ind w:left="1170" w:hanging="364"/>
      </w:pPr>
    </w:p>
    <w:p w:rsidR="00073AB4" w:rsidRDefault="004A1A7C" w:rsidP="001C2026">
      <w:pPr>
        <w:pStyle w:val="BodyText"/>
        <w:tabs>
          <w:tab w:val="left" w:pos="1350"/>
        </w:tabs>
        <w:spacing w:line="268" w:lineRule="exact"/>
        <w:ind w:left="1170" w:hanging="364"/>
      </w:pPr>
      <w:r>
        <w:t>A lower payroll threshold requirement of $1.5 million is available in limited circumstances</w:t>
      </w:r>
      <w:r w:rsidR="00A85B8A">
        <w:t xml:space="preserve"> as follows</w:t>
      </w:r>
      <w:r>
        <w:t>:</w:t>
      </w:r>
    </w:p>
    <w:p w:rsidR="00073AB4" w:rsidRDefault="004A1A7C" w:rsidP="000A76A6">
      <w:pPr>
        <w:pStyle w:val="ListParagraph"/>
        <w:numPr>
          <w:ilvl w:val="0"/>
          <w:numId w:val="1"/>
        </w:numPr>
        <w:spacing w:before="60"/>
        <w:ind w:left="1166" w:hanging="360"/>
      </w:pPr>
      <w:r>
        <w:t>Food processors with 75% out-of-state sales (NAICS Code</w:t>
      </w:r>
      <w:r>
        <w:t xml:space="preserve"> Nos. 3111 through</w:t>
      </w:r>
      <w:r>
        <w:rPr>
          <w:spacing w:val="-18"/>
        </w:rPr>
        <w:t xml:space="preserve"> </w:t>
      </w:r>
      <w:r>
        <w:t>3119)</w:t>
      </w:r>
      <w:r w:rsidR="009E1F5E">
        <w:t>;</w:t>
      </w:r>
    </w:p>
    <w:p w:rsidR="00073AB4" w:rsidRDefault="00A85B8A" w:rsidP="000A76A6">
      <w:pPr>
        <w:pStyle w:val="ListParagraph"/>
        <w:numPr>
          <w:ilvl w:val="0"/>
          <w:numId w:val="1"/>
        </w:numPr>
        <w:spacing w:before="60"/>
        <w:ind w:left="1166" w:hanging="360"/>
      </w:pPr>
      <w:r>
        <w:t>Companies</w:t>
      </w:r>
      <w:r w:rsidR="004A1A7C">
        <w:t xml:space="preserve"> performing Research, Development and Testing Services (NAICS Code Nos. 541710 and</w:t>
      </w:r>
      <w:r w:rsidR="004A1A7C">
        <w:rPr>
          <w:spacing w:val="-21"/>
        </w:rPr>
        <w:t xml:space="preserve"> </w:t>
      </w:r>
      <w:r w:rsidR="004A1A7C">
        <w:t>541380)</w:t>
      </w:r>
      <w:r w:rsidR="009E1F5E">
        <w:t>;</w:t>
      </w:r>
    </w:p>
    <w:p w:rsidR="00073AB4" w:rsidRDefault="004A1A7C" w:rsidP="000A76A6">
      <w:pPr>
        <w:pStyle w:val="ListParagraph"/>
        <w:numPr>
          <w:ilvl w:val="0"/>
          <w:numId w:val="1"/>
        </w:numPr>
        <w:spacing w:before="60"/>
        <w:ind w:left="1166" w:hanging="360"/>
      </w:pPr>
      <w:r>
        <w:t>Auxiliary Research and Development Labs of large</w:t>
      </w:r>
      <w:r>
        <w:rPr>
          <w:spacing w:val="-11"/>
        </w:rPr>
        <w:t xml:space="preserve"> </w:t>
      </w:r>
      <w:r>
        <w:t>enterprises</w:t>
      </w:r>
      <w:r w:rsidR="009E1F5E">
        <w:t>;</w:t>
      </w:r>
    </w:p>
    <w:p w:rsidR="00073AB4" w:rsidRDefault="000A76A6" w:rsidP="000A76A6">
      <w:pPr>
        <w:pStyle w:val="ListParagraph"/>
        <w:numPr>
          <w:ilvl w:val="0"/>
          <w:numId w:val="1"/>
        </w:numPr>
        <w:spacing w:before="60"/>
        <w:ind w:left="1166" w:hanging="360"/>
      </w:pPr>
      <w:r>
        <w:t>Companies locating</w:t>
      </w:r>
      <w:r w:rsidR="004A1A7C">
        <w:t xml:space="preserve"> </w:t>
      </w:r>
      <w:r w:rsidR="004A1A7C">
        <w:t>on certain former military</w:t>
      </w:r>
      <w:r w:rsidR="004A1A7C">
        <w:rPr>
          <w:spacing w:val="-10"/>
        </w:rPr>
        <w:t xml:space="preserve"> </w:t>
      </w:r>
      <w:r w:rsidR="004A1A7C">
        <w:t>bases.</w:t>
      </w:r>
    </w:p>
    <w:p w:rsidR="00073AB4" w:rsidRDefault="00073AB4" w:rsidP="000A76A6">
      <w:pPr>
        <w:pStyle w:val="BodyText"/>
        <w:spacing w:before="60"/>
        <w:ind w:left="1166" w:hanging="360"/>
      </w:pPr>
    </w:p>
    <w:p w:rsidR="000A76A6" w:rsidRDefault="000A76A6" w:rsidP="001C2026">
      <w:pPr>
        <w:pStyle w:val="BodyText"/>
        <w:ind w:left="720" w:right="390"/>
      </w:pPr>
      <w:r>
        <w:t xml:space="preserve">Companies </w:t>
      </w:r>
      <w:r w:rsidR="004A1A7C">
        <w:t>receiv</w:t>
      </w:r>
      <w:r>
        <w:t>ing</w:t>
      </w:r>
      <w:r w:rsidR="004A1A7C">
        <w:t xml:space="preserve"> incentive payment</w:t>
      </w:r>
      <w:r w:rsidR="001C2026">
        <w:t>s also may be eligible for</w:t>
      </w:r>
      <w:r>
        <w:t>:</w:t>
      </w:r>
    </w:p>
    <w:p w:rsidR="000A76A6" w:rsidRDefault="001C2026" w:rsidP="00A85B8A">
      <w:pPr>
        <w:pStyle w:val="BodyText"/>
        <w:numPr>
          <w:ilvl w:val="0"/>
          <w:numId w:val="3"/>
        </w:numPr>
        <w:spacing w:before="60"/>
        <w:ind w:left="1166" w:right="389"/>
      </w:pPr>
      <w:r>
        <w:t>5</w:t>
      </w:r>
      <w:r w:rsidR="004A1A7C">
        <w:t>-year ad valorem tax exemptio</w:t>
      </w:r>
      <w:r w:rsidR="000A76A6">
        <w:t xml:space="preserve">n </w:t>
      </w:r>
      <w:r w:rsidR="004A1A7C">
        <w:t>(manufacturing,</w:t>
      </w:r>
      <w:r w:rsidR="004A1A7C">
        <w:rPr>
          <w:spacing w:val="-8"/>
        </w:rPr>
        <w:t xml:space="preserve"> </w:t>
      </w:r>
      <w:r w:rsidR="004A1A7C">
        <w:t>research</w:t>
      </w:r>
      <w:r w:rsidR="004A1A7C">
        <w:rPr>
          <w:spacing w:val="-7"/>
        </w:rPr>
        <w:t xml:space="preserve"> </w:t>
      </w:r>
      <w:r w:rsidR="004A1A7C">
        <w:t>and</w:t>
      </w:r>
      <w:r w:rsidR="004A1A7C">
        <w:rPr>
          <w:spacing w:val="-7"/>
        </w:rPr>
        <w:t xml:space="preserve"> </w:t>
      </w:r>
      <w:r w:rsidR="004A1A7C">
        <w:t>development,</w:t>
      </w:r>
      <w:r w:rsidR="004A1A7C">
        <w:rPr>
          <w:spacing w:val="-7"/>
        </w:rPr>
        <w:t xml:space="preserve"> </w:t>
      </w:r>
      <w:r w:rsidR="004A1A7C">
        <w:t>certain</w:t>
      </w:r>
      <w:r w:rsidR="004A1A7C">
        <w:rPr>
          <w:spacing w:val="-8"/>
        </w:rPr>
        <w:t xml:space="preserve"> </w:t>
      </w:r>
      <w:r w:rsidR="004A1A7C">
        <w:t>computer</w:t>
      </w:r>
      <w:r w:rsidR="004A1A7C">
        <w:rPr>
          <w:spacing w:val="-7"/>
        </w:rPr>
        <w:t xml:space="preserve"> </w:t>
      </w:r>
      <w:r w:rsidR="004A1A7C">
        <w:t>services</w:t>
      </w:r>
      <w:r w:rsidR="004A1A7C">
        <w:rPr>
          <w:spacing w:val="-7"/>
        </w:rPr>
        <w:t xml:space="preserve"> </w:t>
      </w:r>
      <w:r w:rsidR="004A1A7C">
        <w:t>and</w:t>
      </w:r>
      <w:r w:rsidR="004A1A7C">
        <w:rPr>
          <w:spacing w:val="-7"/>
        </w:rPr>
        <w:t xml:space="preserve"> </w:t>
      </w:r>
      <w:r w:rsidR="004A1A7C">
        <w:t>data</w:t>
      </w:r>
      <w:r w:rsidR="004A1A7C">
        <w:rPr>
          <w:spacing w:val="-7"/>
        </w:rPr>
        <w:t xml:space="preserve"> </w:t>
      </w:r>
      <w:r w:rsidR="004A1A7C">
        <w:t>processing,</w:t>
      </w:r>
      <w:r w:rsidR="004A1A7C">
        <w:rPr>
          <w:spacing w:val="-8"/>
        </w:rPr>
        <w:t xml:space="preserve"> </w:t>
      </w:r>
      <w:r w:rsidR="004A1A7C">
        <w:t>aircraft</w:t>
      </w:r>
      <w:r w:rsidR="004A1A7C">
        <w:rPr>
          <w:spacing w:val="-6"/>
        </w:rPr>
        <w:t xml:space="preserve"> </w:t>
      </w:r>
      <w:r w:rsidR="004A1A7C">
        <w:t>repair)</w:t>
      </w:r>
      <w:r w:rsidR="009E1F5E">
        <w:t>;</w:t>
      </w:r>
    </w:p>
    <w:p w:rsidR="000A76A6" w:rsidRDefault="000A76A6" w:rsidP="00A85B8A">
      <w:pPr>
        <w:pStyle w:val="BodyText"/>
        <w:numPr>
          <w:ilvl w:val="0"/>
          <w:numId w:val="3"/>
        </w:numPr>
        <w:spacing w:before="60"/>
        <w:ind w:left="1166" w:right="389"/>
      </w:pPr>
      <w:r>
        <w:t>L</w:t>
      </w:r>
      <w:r w:rsidR="004A1A7C">
        <w:t>ow</w:t>
      </w:r>
      <w:r w:rsidR="00A85B8A">
        <w:t>-</w:t>
      </w:r>
      <w:r w:rsidR="004A1A7C">
        <w:t>cost</w:t>
      </w:r>
      <w:r w:rsidR="004A1A7C">
        <w:rPr>
          <w:spacing w:val="-7"/>
        </w:rPr>
        <w:t xml:space="preserve"> </w:t>
      </w:r>
      <w:r w:rsidR="004A1A7C">
        <w:t>or</w:t>
      </w:r>
      <w:r w:rsidR="004A1A7C">
        <w:rPr>
          <w:spacing w:val="-7"/>
        </w:rPr>
        <w:t xml:space="preserve"> </w:t>
      </w:r>
      <w:r w:rsidR="004A1A7C">
        <w:t>no</w:t>
      </w:r>
      <w:r w:rsidR="00A85B8A">
        <w:t>-</w:t>
      </w:r>
      <w:r w:rsidR="004A1A7C">
        <w:t>cost</w:t>
      </w:r>
      <w:r w:rsidR="004A1A7C">
        <w:rPr>
          <w:spacing w:val="-17"/>
        </w:rPr>
        <w:t xml:space="preserve"> </w:t>
      </w:r>
      <w:r w:rsidR="004A1A7C">
        <w:t>training</w:t>
      </w:r>
      <w:r w:rsidR="009E1F5E">
        <w:t>;</w:t>
      </w:r>
    </w:p>
    <w:p w:rsidR="000A76A6" w:rsidRDefault="000A76A6" w:rsidP="00A85B8A">
      <w:pPr>
        <w:pStyle w:val="BodyText"/>
        <w:numPr>
          <w:ilvl w:val="0"/>
          <w:numId w:val="3"/>
        </w:numPr>
        <w:spacing w:before="60"/>
        <w:ind w:left="1166" w:right="389"/>
      </w:pPr>
      <w:r>
        <w:t>W</w:t>
      </w:r>
      <w:r w:rsidR="004A1A7C">
        <w:t>orkforce</w:t>
      </w:r>
      <w:r w:rsidR="004A1A7C">
        <w:rPr>
          <w:spacing w:val="-13"/>
        </w:rPr>
        <w:t xml:space="preserve"> </w:t>
      </w:r>
      <w:r w:rsidR="004A1A7C">
        <w:t>recr</w:t>
      </w:r>
      <w:r w:rsidR="004A1A7C">
        <w:t>uiting</w:t>
      </w:r>
      <w:r w:rsidR="004A1A7C">
        <w:rPr>
          <w:spacing w:val="-16"/>
        </w:rPr>
        <w:t xml:space="preserve"> </w:t>
      </w:r>
      <w:r>
        <w:t>assistance</w:t>
      </w:r>
      <w:r w:rsidR="009E1F5E">
        <w:t>;</w:t>
      </w:r>
    </w:p>
    <w:p w:rsidR="000A76A6" w:rsidRDefault="000A76A6" w:rsidP="00A85B8A">
      <w:pPr>
        <w:pStyle w:val="BodyText"/>
        <w:numPr>
          <w:ilvl w:val="0"/>
          <w:numId w:val="3"/>
        </w:numPr>
        <w:spacing w:before="60"/>
        <w:ind w:left="1166" w:right="389"/>
      </w:pPr>
      <w:r>
        <w:t>F</w:t>
      </w:r>
      <w:r w:rsidR="004A1A7C">
        <w:t>oreign</w:t>
      </w:r>
      <w:r w:rsidR="004A1A7C">
        <w:rPr>
          <w:spacing w:val="-16"/>
        </w:rPr>
        <w:t xml:space="preserve"> </w:t>
      </w:r>
      <w:r w:rsidR="00A85B8A">
        <w:t>T</w:t>
      </w:r>
      <w:r w:rsidR="004A1A7C">
        <w:t>rade</w:t>
      </w:r>
      <w:r w:rsidR="004A1A7C">
        <w:rPr>
          <w:spacing w:val="-13"/>
        </w:rPr>
        <w:t xml:space="preserve"> </w:t>
      </w:r>
      <w:r w:rsidR="00A85B8A">
        <w:rPr>
          <w:spacing w:val="-13"/>
        </w:rPr>
        <w:t>Z</w:t>
      </w:r>
      <w:r w:rsidR="00A85B8A">
        <w:t>one/</w:t>
      </w:r>
      <w:r w:rsidR="004A1A7C">
        <w:rPr>
          <w:spacing w:val="-15"/>
        </w:rPr>
        <w:t xml:space="preserve"> </w:t>
      </w:r>
      <w:r w:rsidR="004A1A7C">
        <w:t>Freeport</w:t>
      </w:r>
      <w:r w:rsidR="004A1A7C">
        <w:rPr>
          <w:spacing w:val="-14"/>
        </w:rPr>
        <w:t xml:space="preserve"> </w:t>
      </w:r>
      <w:r w:rsidR="004A1A7C">
        <w:t>inventory</w:t>
      </w:r>
      <w:r w:rsidR="004A1A7C">
        <w:rPr>
          <w:spacing w:val="-13"/>
        </w:rPr>
        <w:t xml:space="preserve"> </w:t>
      </w:r>
      <w:r w:rsidR="004A1A7C">
        <w:t>benefits</w:t>
      </w:r>
      <w:r w:rsidR="009E1F5E">
        <w:t>;</w:t>
      </w:r>
    </w:p>
    <w:p w:rsidR="000A76A6" w:rsidRDefault="000A76A6" w:rsidP="00A85B8A">
      <w:pPr>
        <w:pStyle w:val="BodyText"/>
        <w:numPr>
          <w:ilvl w:val="0"/>
          <w:numId w:val="3"/>
        </w:numPr>
        <w:spacing w:before="60"/>
        <w:ind w:left="1166" w:right="389"/>
      </w:pPr>
      <w:r>
        <w:t>O</w:t>
      </w:r>
      <w:r w:rsidR="004A1A7C">
        <w:t>ther</w:t>
      </w:r>
      <w:r w:rsidR="004A1A7C">
        <w:rPr>
          <w:spacing w:val="-14"/>
        </w:rPr>
        <w:t xml:space="preserve"> </w:t>
      </w:r>
      <w:r w:rsidR="004A1A7C">
        <w:t xml:space="preserve">technical/financial assistance programs. </w:t>
      </w:r>
    </w:p>
    <w:p w:rsidR="00073AB4" w:rsidRDefault="000A76A6" w:rsidP="00A85B8A">
      <w:pPr>
        <w:pStyle w:val="BodyText"/>
        <w:spacing w:before="120"/>
        <w:ind w:left="720" w:right="120"/>
      </w:pPr>
      <w:r w:rsidRPr="000A76A6">
        <w:rPr>
          <w:i/>
        </w:rPr>
        <w:t>Restrictions</w:t>
      </w:r>
      <w:r w:rsidR="00A85B8A">
        <w:rPr>
          <w:i/>
        </w:rPr>
        <w:t xml:space="preserve">: </w:t>
      </w:r>
      <w:r>
        <w:t>Companies</w:t>
      </w:r>
      <w:r w:rsidR="004A1A7C">
        <w:t xml:space="preserve"> </w:t>
      </w:r>
      <w:r w:rsidR="004A1A7C">
        <w:t>receiv</w:t>
      </w:r>
      <w:r>
        <w:t>ing</w:t>
      </w:r>
      <w:r w:rsidR="004A1A7C">
        <w:t xml:space="preserve"> incentive payments under the Quality Jobs Program cannot utilize the New Jobs or Investment Tax Credit, sales tax exemp</w:t>
      </w:r>
      <w:r w:rsidR="004A1A7C">
        <w:t>tions for construction, and certain additional tax credits and</w:t>
      </w:r>
      <w:r w:rsidR="004A1A7C">
        <w:rPr>
          <w:spacing w:val="-30"/>
        </w:rPr>
        <w:t xml:space="preserve"> </w:t>
      </w:r>
      <w:r w:rsidR="004A1A7C">
        <w:t>exemptions.</w:t>
      </w:r>
    </w:p>
    <w:p w:rsidR="00073AB4" w:rsidRDefault="00073AB4" w:rsidP="001C2026">
      <w:pPr>
        <w:sectPr w:rsidR="00073AB4" w:rsidSect="000A76A6">
          <w:headerReference w:type="default" r:id="rId8"/>
          <w:footerReference w:type="default" r:id="rId9"/>
          <w:type w:val="continuous"/>
          <w:pgSz w:w="12240" w:h="15840"/>
          <w:pgMar w:top="720" w:right="720" w:bottom="1120" w:left="600" w:header="720" w:footer="924" w:gutter="0"/>
          <w:cols w:space="720"/>
        </w:sectPr>
      </w:pPr>
    </w:p>
    <w:p w:rsidR="00073AB4" w:rsidRDefault="004A1A7C" w:rsidP="000A76A6">
      <w:pPr>
        <w:spacing w:before="39"/>
        <w:ind w:left="90" w:right="240"/>
        <w:jc w:val="center"/>
        <w:rPr>
          <w:b/>
          <w:sz w:val="24"/>
        </w:rPr>
      </w:pPr>
      <w:r>
        <w:rPr>
          <w:b/>
          <w:sz w:val="24"/>
        </w:rPr>
        <w:t>Quality Jobs Program Qualifying Basic I</w:t>
      </w:r>
      <w:r w:rsidR="000A76A6">
        <w:rPr>
          <w:b/>
          <w:sz w:val="24"/>
        </w:rPr>
        <w:t>ndustries</w:t>
      </w:r>
    </w:p>
    <w:p w:rsidR="000A76A6" w:rsidRPr="000A76A6" w:rsidRDefault="000A76A6" w:rsidP="000A76A6">
      <w:pPr>
        <w:spacing w:before="39"/>
        <w:ind w:left="90" w:right="1116"/>
        <w:rPr>
          <w:b/>
          <w:sz w:val="24"/>
        </w:rPr>
      </w:pPr>
    </w:p>
    <w:p w:rsidR="00073AB4" w:rsidRDefault="004A1A7C" w:rsidP="001C2026">
      <w:pPr>
        <w:ind w:left="1118" w:right="1116"/>
        <w:rPr>
          <w:i/>
        </w:rPr>
      </w:pPr>
      <w:r>
        <w:rPr>
          <w:b/>
          <w:i/>
          <w:sz w:val="24"/>
          <w:u w:val="single"/>
        </w:rPr>
        <w:t>M</w:t>
      </w:r>
      <w:r>
        <w:rPr>
          <w:b/>
          <w:i/>
          <w:sz w:val="24"/>
          <w:u w:val="single"/>
        </w:rPr>
        <w:t>anufacturin</w:t>
      </w:r>
      <w:r>
        <w:rPr>
          <w:b/>
          <w:i/>
          <w:sz w:val="24"/>
        </w:rPr>
        <w:t xml:space="preserve">g – </w:t>
      </w:r>
      <w:r>
        <w:rPr>
          <w:i/>
          <w:sz w:val="24"/>
        </w:rPr>
        <w:t>Industries classified under NAICS Manual Nos. 31, 32, 33, 5111 or 11331</w:t>
      </w:r>
      <w:r>
        <w:rPr>
          <w:i/>
        </w:rPr>
        <w:t>.</w:t>
      </w:r>
    </w:p>
    <w:p w:rsidR="00073AB4" w:rsidRDefault="00073AB4" w:rsidP="001C2026">
      <w:pPr>
        <w:pStyle w:val="BodyText"/>
        <w:spacing w:before="2"/>
        <w:rPr>
          <w:i/>
          <w:sz w:val="17"/>
        </w:rPr>
      </w:pPr>
    </w:p>
    <w:p w:rsidR="00073AB4" w:rsidRDefault="00073AB4" w:rsidP="001C2026">
      <w:pPr>
        <w:rPr>
          <w:sz w:val="17"/>
        </w:rPr>
        <w:sectPr w:rsidR="00073AB4">
          <w:pgSz w:w="12240" w:h="15840"/>
          <w:pgMar w:top="680" w:right="600" w:bottom="1120" w:left="600" w:header="0" w:footer="924" w:gutter="0"/>
          <w:cols w:space="720"/>
        </w:sectPr>
      </w:pPr>
    </w:p>
    <w:p w:rsidR="00073AB4" w:rsidRDefault="004A1A7C" w:rsidP="001C2026">
      <w:pPr>
        <w:pStyle w:val="Heading3"/>
        <w:spacing w:before="57"/>
      </w:pPr>
      <w:r>
        <w:lastRenderedPageBreak/>
        <w:t>Research and Development and Testing Laboratories –</w:t>
      </w:r>
    </w:p>
    <w:p w:rsidR="00073AB4" w:rsidRDefault="004A1A7C" w:rsidP="001C2026">
      <w:pPr>
        <w:spacing w:before="2"/>
        <w:ind w:left="120"/>
        <w:rPr>
          <w:sz w:val="20"/>
        </w:rPr>
      </w:pPr>
      <w:r>
        <w:rPr>
          <w:sz w:val="20"/>
        </w:rPr>
        <w:t>See NAICS Manual Nos. 541711, 541712 and 541380.</w:t>
      </w:r>
    </w:p>
    <w:p w:rsidR="00073AB4" w:rsidRDefault="00073AB4" w:rsidP="001C2026">
      <w:pPr>
        <w:pStyle w:val="BodyText"/>
        <w:spacing w:before="9"/>
        <w:rPr>
          <w:sz w:val="19"/>
        </w:rPr>
      </w:pPr>
    </w:p>
    <w:p w:rsidR="00073AB4" w:rsidRDefault="004A1A7C" w:rsidP="001C2026">
      <w:pPr>
        <w:spacing w:line="242" w:lineRule="auto"/>
        <w:ind w:left="120" w:right="144"/>
        <w:rPr>
          <w:sz w:val="20"/>
        </w:rPr>
      </w:pPr>
      <w:r>
        <w:rPr>
          <w:b/>
        </w:rPr>
        <w:t xml:space="preserve">Central Administrative Offices, Corporate Offices and Technical Services </w:t>
      </w:r>
      <w:r>
        <w:rPr>
          <w:b/>
          <w:sz w:val="20"/>
        </w:rPr>
        <w:t xml:space="preserve">- </w:t>
      </w:r>
      <w:r>
        <w:rPr>
          <w:sz w:val="20"/>
        </w:rPr>
        <w:t>See NAICS Manual Nos. 5611, 5612, 51821, 519130, 52232, 56142, 524291 and 55111</w:t>
      </w:r>
      <w:r>
        <w:rPr>
          <w:sz w:val="20"/>
        </w:rPr>
        <w:t>4.</w:t>
      </w:r>
    </w:p>
    <w:p w:rsidR="00073AB4" w:rsidRDefault="00073AB4" w:rsidP="001C2026">
      <w:pPr>
        <w:pStyle w:val="BodyText"/>
        <w:spacing w:before="6"/>
        <w:rPr>
          <w:sz w:val="19"/>
        </w:rPr>
      </w:pPr>
    </w:p>
    <w:p w:rsidR="00073AB4" w:rsidRDefault="004A1A7C" w:rsidP="001C2026">
      <w:pPr>
        <w:pStyle w:val="Heading3"/>
        <w:ind w:left="119"/>
      </w:pPr>
      <w:r>
        <w:t>Certain jobs related to the mining of oil and gas</w:t>
      </w:r>
    </w:p>
    <w:p w:rsidR="00073AB4" w:rsidRDefault="004A1A7C" w:rsidP="001C2026">
      <w:pPr>
        <w:ind w:left="120"/>
        <w:rPr>
          <w:sz w:val="20"/>
        </w:rPr>
      </w:pPr>
      <w:r>
        <w:rPr>
          <w:sz w:val="20"/>
        </w:rPr>
        <w:t>See NAICS No. 2111, 213111, 213112 and 486.</w:t>
      </w:r>
    </w:p>
    <w:p w:rsidR="00073AB4" w:rsidRDefault="00073AB4" w:rsidP="001C2026">
      <w:pPr>
        <w:pStyle w:val="BodyText"/>
        <w:spacing w:before="6"/>
        <w:rPr>
          <w:sz w:val="20"/>
        </w:rPr>
      </w:pPr>
    </w:p>
    <w:p w:rsidR="00073AB4" w:rsidRDefault="004A1A7C" w:rsidP="001C2026">
      <w:pPr>
        <w:spacing w:line="232" w:lineRule="auto"/>
        <w:ind w:left="119" w:right="144"/>
        <w:rPr>
          <w:sz w:val="20"/>
        </w:rPr>
      </w:pPr>
      <w:r>
        <w:rPr>
          <w:b/>
        </w:rPr>
        <w:t xml:space="preserve">Certain Warehouse/Distribution Operations – </w:t>
      </w:r>
      <w:r>
        <w:rPr>
          <w:sz w:val="20"/>
        </w:rPr>
        <w:t>See NAICS manual 42-where 40% of inventory is shipped out of state.</w:t>
      </w:r>
    </w:p>
    <w:p w:rsidR="00073AB4" w:rsidRDefault="00073AB4" w:rsidP="001C2026">
      <w:pPr>
        <w:pStyle w:val="BodyText"/>
        <w:spacing w:before="11"/>
        <w:rPr>
          <w:sz w:val="19"/>
        </w:rPr>
      </w:pPr>
    </w:p>
    <w:p w:rsidR="00073AB4" w:rsidRDefault="004A1A7C" w:rsidP="001C2026">
      <w:pPr>
        <w:spacing w:line="242" w:lineRule="auto"/>
        <w:ind w:left="119" w:right="169"/>
        <w:rPr>
          <w:sz w:val="20"/>
        </w:rPr>
      </w:pPr>
      <w:r>
        <w:rPr>
          <w:b/>
        </w:rPr>
        <w:t xml:space="preserve">Transportation by Air – </w:t>
      </w:r>
      <w:r>
        <w:rPr>
          <w:sz w:val="20"/>
        </w:rPr>
        <w:t>See NAICS Manual No. 4811 if corporate headquarters and some reservation activities are within the state or 75% of air transport sales are to out-of- state consumers.</w:t>
      </w:r>
    </w:p>
    <w:p w:rsidR="00073AB4" w:rsidRDefault="004A1A7C" w:rsidP="001C2026">
      <w:pPr>
        <w:pStyle w:val="Heading3"/>
        <w:spacing w:before="57"/>
        <w:ind w:left="119"/>
      </w:pPr>
      <w:r>
        <w:rPr>
          <w:b w:val="0"/>
        </w:rPr>
        <w:br w:type="column"/>
      </w:r>
      <w:r>
        <w:t>Flight Training Services</w:t>
      </w:r>
    </w:p>
    <w:p w:rsidR="00073AB4" w:rsidRDefault="004A1A7C" w:rsidP="001C2026">
      <w:pPr>
        <w:spacing w:before="2"/>
        <w:ind w:left="119"/>
        <w:rPr>
          <w:sz w:val="20"/>
        </w:rPr>
      </w:pPr>
      <w:r>
        <w:rPr>
          <w:sz w:val="20"/>
        </w:rPr>
        <w:t>See NAICS No. 611512.</w:t>
      </w:r>
    </w:p>
    <w:p w:rsidR="00073AB4" w:rsidRDefault="00073AB4" w:rsidP="001C2026">
      <w:pPr>
        <w:pStyle w:val="BodyText"/>
        <w:spacing w:before="9"/>
        <w:rPr>
          <w:sz w:val="21"/>
        </w:rPr>
      </w:pPr>
    </w:p>
    <w:p w:rsidR="00073AB4" w:rsidRDefault="004A1A7C" w:rsidP="001C2026">
      <w:pPr>
        <w:pStyle w:val="Heading3"/>
        <w:ind w:left="119" w:right="586"/>
      </w:pPr>
      <w:r>
        <w:t>Federal Civilian Workforce of the Federa</w:t>
      </w:r>
      <w:r>
        <w:t>l Aviation Administration</w:t>
      </w:r>
    </w:p>
    <w:p w:rsidR="00073AB4" w:rsidRDefault="004A1A7C" w:rsidP="001C2026">
      <w:pPr>
        <w:spacing w:before="3"/>
        <w:ind w:left="119" w:right="394"/>
        <w:rPr>
          <w:sz w:val="20"/>
        </w:rPr>
      </w:pPr>
      <w:r>
        <w:rPr>
          <w:sz w:val="20"/>
        </w:rPr>
        <w:t>Where jobs are migrating to Oklahoma from other Federal sites or expanding here.</w:t>
      </w:r>
    </w:p>
    <w:p w:rsidR="00073AB4" w:rsidRDefault="00073AB4" w:rsidP="001C2026">
      <w:pPr>
        <w:pStyle w:val="BodyText"/>
        <w:spacing w:before="9"/>
        <w:rPr>
          <w:sz w:val="19"/>
        </w:rPr>
      </w:pPr>
    </w:p>
    <w:p w:rsidR="00073AB4" w:rsidRDefault="004A1A7C" w:rsidP="001C2026">
      <w:pPr>
        <w:pStyle w:val="Heading3"/>
        <w:ind w:left="119"/>
      </w:pPr>
      <w:r>
        <w:t>Other Support Activities for Air Transportation</w:t>
      </w:r>
    </w:p>
    <w:p w:rsidR="00073AB4" w:rsidRDefault="004A1A7C" w:rsidP="001C2026">
      <w:pPr>
        <w:spacing w:before="3"/>
        <w:ind w:left="119"/>
        <w:rPr>
          <w:sz w:val="20"/>
        </w:rPr>
      </w:pPr>
      <w:r>
        <w:rPr>
          <w:sz w:val="20"/>
        </w:rPr>
        <w:t>See NAICS Manual No. 488190.</w:t>
      </w:r>
    </w:p>
    <w:p w:rsidR="00073AB4" w:rsidRDefault="00073AB4" w:rsidP="001C2026">
      <w:pPr>
        <w:pStyle w:val="BodyText"/>
        <w:spacing w:before="10"/>
        <w:rPr>
          <w:sz w:val="21"/>
        </w:rPr>
      </w:pPr>
    </w:p>
    <w:p w:rsidR="00073AB4" w:rsidRDefault="004A1A7C" w:rsidP="001C2026">
      <w:pPr>
        <w:pStyle w:val="Heading3"/>
        <w:ind w:left="119" w:right="318"/>
      </w:pPr>
      <w:r>
        <w:t>Wind Power Electric Generation Equipment Repair &amp; Maintenance</w:t>
      </w:r>
    </w:p>
    <w:p w:rsidR="00073AB4" w:rsidRDefault="004A1A7C" w:rsidP="001C2026">
      <w:pPr>
        <w:spacing w:before="3"/>
        <w:ind w:left="119"/>
        <w:rPr>
          <w:sz w:val="20"/>
        </w:rPr>
      </w:pPr>
      <w:r>
        <w:rPr>
          <w:sz w:val="20"/>
        </w:rPr>
        <w:t>See NAIC</w:t>
      </w:r>
      <w:r>
        <w:rPr>
          <w:sz w:val="20"/>
        </w:rPr>
        <w:t>S Manual No. 811310.</w:t>
      </w:r>
    </w:p>
    <w:p w:rsidR="00073AB4" w:rsidRDefault="00073AB4" w:rsidP="001C2026">
      <w:pPr>
        <w:pStyle w:val="BodyText"/>
        <w:spacing w:before="8"/>
        <w:rPr>
          <w:sz w:val="21"/>
        </w:rPr>
      </w:pPr>
    </w:p>
    <w:p w:rsidR="00073AB4" w:rsidRDefault="004A1A7C" w:rsidP="001C2026">
      <w:pPr>
        <w:pStyle w:val="Heading3"/>
        <w:spacing w:before="1"/>
        <w:ind w:left="119"/>
      </w:pPr>
      <w:r>
        <w:t>Support Activities for Rail and Water Transport</w:t>
      </w:r>
    </w:p>
    <w:p w:rsidR="00073AB4" w:rsidRDefault="004A1A7C" w:rsidP="001C2026">
      <w:pPr>
        <w:spacing w:before="2"/>
        <w:ind w:left="119"/>
        <w:rPr>
          <w:sz w:val="20"/>
        </w:rPr>
      </w:pPr>
      <w:r>
        <w:rPr>
          <w:sz w:val="20"/>
        </w:rPr>
        <w:t>See NAICS Manual Nos. 4882 and 4883.</w:t>
      </w:r>
    </w:p>
    <w:p w:rsidR="00073AB4" w:rsidRDefault="00073AB4" w:rsidP="001C2026">
      <w:pPr>
        <w:pStyle w:val="BodyText"/>
        <w:spacing w:before="11"/>
        <w:rPr>
          <w:sz w:val="21"/>
        </w:rPr>
      </w:pPr>
    </w:p>
    <w:p w:rsidR="00073AB4" w:rsidRDefault="004A1A7C" w:rsidP="001C2026">
      <w:pPr>
        <w:pStyle w:val="Heading3"/>
        <w:ind w:left="119"/>
      </w:pPr>
      <w:r>
        <w:t>Sports Teams &amp; Clubs</w:t>
      </w:r>
    </w:p>
    <w:p w:rsidR="00073AB4" w:rsidRDefault="004A1A7C" w:rsidP="001C2026">
      <w:pPr>
        <w:spacing w:before="2"/>
        <w:ind w:left="119"/>
        <w:rPr>
          <w:sz w:val="20"/>
        </w:rPr>
      </w:pPr>
      <w:r>
        <w:rPr>
          <w:sz w:val="20"/>
        </w:rPr>
        <w:t>See NAICS Manual No. 711211.</w:t>
      </w:r>
    </w:p>
    <w:p w:rsidR="00073AB4" w:rsidRDefault="00073AB4" w:rsidP="001C2026">
      <w:pPr>
        <w:rPr>
          <w:sz w:val="20"/>
        </w:rPr>
        <w:sectPr w:rsidR="00073AB4">
          <w:type w:val="continuous"/>
          <w:pgSz w:w="12240" w:h="15840"/>
          <w:pgMar w:top="720" w:right="600" w:bottom="1120" w:left="600" w:header="720" w:footer="720" w:gutter="0"/>
          <w:cols w:num="2" w:space="720" w:equalWidth="0">
            <w:col w:w="5138" w:space="622"/>
            <w:col w:w="5280"/>
          </w:cols>
        </w:sectPr>
      </w:pPr>
    </w:p>
    <w:p w:rsidR="00073AB4" w:rsidRDefault="00073AB4" w:rsidP="001C2026">
      <w:pPr>
        <w:pStyle w:val="BodyText"/>
        <w:spacing w:before="10"/>
        <w:rPr>
          <w:sz w:val="11"/>
        </w:rPr>
      </w:pPr>
    </w:p>
    <w:p w:rsidR="00073AB4" w:rsidRDefault="004A1A7C" w:rsidP="001C2026">
      <w:pPr>
        <w:pStyle w:val="Heading2"/>
        <w:spacing w:before="52"/>
      </w:pPr>
      <w:r>
        <w:rPr>
          <w:b/>
          <w:i w:val="0"/>
          <w:u w:val="single"/>
        </w:rPr>
        <w:t xml:space="preserve">Services </w:t>
      </w:r>
      <w:r>
        <w:rPr>
          <w:b/>
          <w:i w:val="0"/>
        </w:rPr>
        <w:t xml:space="preserve">– </w:t>
      </w:r>
      <w:r>
        <w:t>This program also covers the following service companies if 75% of sales are out-of-state.</w:t>
      </w:r>
    </w:p>
    <w:p w:rsidR="00073AB4" w:rsidRDefault="00073AB4" w:rsidP="001C2026">
      <w:pPr>
        <w:pStyle w:val="BodyText"/>
        <w:spacing w:before="2"/>
        <w:rPr>
          <w:i/>
          <w:sz w:val="17"/>
        </w:rPr>
      </w:pPr>
    </w:p>
    <w:p w:rsidR="00073AB4" w:rsidRDefault="00073AB4" w:rsidP="001C2026">
      <w:pPr>
        <w:rPr>
          <w:sz w:val="17"/>
        </w:rPr>
        <w:sectPr w:rsidR="00073AB4">
          <w:type w:val="continuous"/>
          <w:pgSz w:w="12240" w:h="15840"/>
          <w:pgMar w:top="720" w:right="600" w:bottom="1120" w:left="600" w:header="720" w:footer="720" w:gutter="0"/>
          <w:cols w:space="720"/>
        </w:sectPr>
      </w:pPr>
    </w:p>
    <w:p w:rsidR="00073AB4" w:rsidRDefault="004A1A7C" w:rsidP="001C2026">
      <w:pPr>
        <w:pStyle w:val="Heading3"/>
        <w:spacing w:before="56"/>
      </w:pPr>
      <w:r>
        <w:t>Motor Freight Transportation and Warehousing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Nos. 493, 484, 4884-4889</w:t>
      </w:r>
    </w:p>
    <w:p w:rsidR="00073AB4" w:rsidRDefault="00073AB4" w:rsidP="001C2026">
      <w:pPr>
        <w:pStyle w:val="BodyText"/>
        <w:spacing w:before="8"/>
        <w:rPr>
          <w:sz w:val="19"/>
        </w:rPr>
      </w:pPr>
    </w:p>
    <w:p w:rsidR="00073AB4" w:rsidRDefault="004A1A7C" w:rsidP="001C2026">
      <w:pPr>
        <w:pStyle w:val="Heading3"/>
      </w:pPr>
      <w:r>
        <w:t>Arrangement of Passenger Transportation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Nos. 561510 and 56159</w:t>
      </w:r>
      <w:r>
        <w:rPr>
          <w:sz w:val="20"/>
        </w:rPr>
        <w:t>9.</w:t>
      </w:r>
    </w:p>
    <w:p w:rsidR="00073AB4" w:rsidRDefault="00073AB4" w:rsidP="001C2026">
      <w:pPr>
        <w:pStyle w:val="BodyText"/>
        <w:spacing w:before="11"/>
        <w:rPr>
          <w:sz w:val="21"/>
        </w:rPr>
      </w:pPr>
    </w:p>
    <w:p w:rsidR="00073AB4" w:rsidRDefault="004A1A7C" w:rsidP="001C2026">
      <w:pPr>
        <w:pStyle w:val="Heading3"/>
      </w:pPr>
      <w:r>
        <w:t>Transportation of Freight or Cargo</w:t>
      </w:r>
    </w:p>
    <w:p w:rsidR="00073AB4" w:rsidRDefault="004A1A7C" w:rsidP="001C2026">
      <w:pPr>
        <w:spacing w:before="2"/>
        <w:ind w:left="120"/>
        <w:rPr>
          <w:sz w:val="20"/>
        </w:rPr>
      </w:pPr>
      <w:r>
        <w:rPr>
          <w:sz w:val="20"/>
        </w:rPr>
        <w:t>See NAICS No. 541614.</w:t>
      </w:r>
    </w:p>
    <w:p w:rsidR="00073AB4" w:rsidRDefault="00073AB4" w:rsidP="001C2026">
      <w:pPr>
        <w:pStyle w:val="BodyText"/>
        <w:spacing w:before="9"/>
        <w:rPr>
          <w:sz w:val="21"/>
        </w:rPr>
      </w:pPr>
    </w:p>
    <w:p w:rsidR="00073AB4" w:rsidRDefault="004A1A7C" w:rsidP="001C2026">
      <w:pPr>
        <w:pStyle w:val="Heading3"/>
      </w:pPr>
      <w:r>
        <w:t>Certain Communications Services</w:t>
      </w:r>
    </w:p>
    <w:p w:rsidR="00073AB4" w:rsidRDefault="004A1A7C" w:rsidP="001C2026">
      <w:pPr>
        <w:spacing w:before="2"/>
        <w:ind w:left="120"/>
        <w:rPr>
          <w:sz w:val="20"/>
        </w:rPr>
      </w:pPr>
      <w:r>
        <w:rPr>
          <w:sz w:val="20"/>
        </w:rPr>
        <w:t>See NAICS Nos. 51741 and 51791.</w:t>
      </w:r>
    </w:p>
    <w:p w:rsidR="00073AB4" w:rsidRDefault="00073AB4" w:rsidP="001C2026">
      <w:pPr>
        <w:pStyle w:val="BodyText"/>
        <w:spacing w:before="11"/>
        <w:rPr>
          <w:sz w:val="21"/>
        </w:rPr>
      </w:pPr>
    </w:p>
    <w:p w:rsidR="00073AB4" w:rsidRDefault="004A1A7C" w:rsidP="001C2026">
      <w:pPr>
        <w:pStyle w:val="Heading3"/>
      </w:pPr>
      <w:r>
        <w:t>Certain Refuse Systems that distribute methane gas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No. 5622.</w:t>
      </w:r>
    </w:p>
    <w:p w:rsidR="00073AB4" w:rsidRDefault="00073AB4" w:rsidP="001C2026">
      <w:pPr>
        <w:pStyle w:val="BodyText"/>
        <w:spacing w:before="8"/>
        <w:rPr>
          <w:sz w:val="21"/>
        </w:rPr>
      </w:pPr>
    </w:p>
    <w:p w:rsidR="00073AB4" w:rsidRDefault="004A1A7C" w:rsidP="001C2026">
      <w:pPr>
        <w:pStyle w:val="Heading3"/>
      </w:pPr>
      <w:r>
        <w:t>Grocery Wholesale Distributing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Nos. 4244 and 42</w:t>
      </w:r>
      <w:r>
        <w:rPr>
          <w:sz w:val="20"/>
        </w:rPr>
        <w:t>45.</w:t>
      </w:r>
    </w:p>
    <w:p w:rsidR="00073AB4" w:rsidRDefault="00073AB4" w:rsidP="001C2026">
      <w:pPr>
        <w:pStyle w:val="BodyText"/>
        <w:spacing w:before="10"/>
        <w:rPr>
          <w:sz w:val="21"/>
        </w:rPr>
      </w:pPr>
    </w:p>
    <w:p w:rsidR="00073AB4" w:rsidRDefault="004A1A7C" w:rsidP="001C2026">
      <w:pPr>
        <w:pStyle w:val="Heading3"/>
      </w:pPr>
      <w:r>
        <w:t>Insurance</w:t>
      </w:r>
      <w:r>
        <w:rPr>
          <w:spacing w:val="-6"/>
        </w:rPr>
        <w:t xml:space="preserve"> </w:t>
      </w:r>
      <w:r>
        <w:t>Carriers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No.</w:t>
      </w:r>
      <w:r>
        <w:rPr>
          <w:spacing w:val="-13"/>
          <w:sz w:val="20"/>
        </w:rPr>
        <w:t xml:space="preserve"> </w:t>
      </w:r>
      <w:r>
        <w:rPr>
          <w:sz w:val="20"/>
        </w:rPr>
        <w:t>5241.</w:t>
      </w:r>
    </w:p>
    <w:p w:rsidR="00073AB4" w:rsidRDefault="00073AB4" w:rsidP="001C2026">
      <w:pPr>
        <w:pStyle w:val="BodyText"/>
        <w:spacing w:before="8"/>
        <w:rPr>
          <w:sz w:val="21"/>
        </w:rPr>
      </w:pPr>
    </w:p>
    <w:p w:rsidR="00073AB4" w:rsidRDefault="004A1A7C" w:rsidP="001C2026">
      <w:pPr>
        <w:pStyle w:val="Heading3"/>
      </w:pPr>
      <w:r>
        <w:t>Insurance Claims Processors Only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Included in NAICS Nos. 524210 and 524292.</w:t>
      </w:r>
    </w:p>
    <w:p w:rsidR="00073AB4" w:rsidRPr="00331BFE" w:rsidRDefault="004A1A7C" w:rsidP="00331BFE">
      <w:pPr>
        <w:pStyle w:val="BodyText"/>
        <w:spacing w:before="7"/>
        <w:rPr>
          <w:b/>
        </w:rPr>
      </w:pPr>
      <w:r>
        <w:br w:type="column"/>
      </w:r>
      <w:r w:rsidRPr="00331BFE">
        <w:rPr>
          <w:b/>
        </w:rPr>
        <w:t>Adjustment and Collection Services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</w:t>
      </w:r>
      <w:r>
        <w:rPr>
          <w:sz w:val="20"/>
        </w:rPr>
        <w:t>ee NAICS No. 561440 (75% of loans to out-of-state debtors).</w:t>
      </w:r>
    </w:p>
    <w:p w:rsidR="00073AB4" w:rsidRDefault="00073AB4" w:rsidP="001C2026">
      <w:pPr>
        <w:pStyle w:val="BodyText"/>
        <w:spacing w:before="8"/>
        <w:rPr>
          <w:sz w:val="21"/>
        </w:rPr>
      </w:pPr>
    </w:p>
    <w:p w:rsidR="00073AB4" w:rsidRDefault="004A1A7C" w:rsidP="001C2026">
      <w:pPr>
        <w:pStyle w:val="Heading3"/>
      </w:pPr>
      <w:r>
        <w:t>Miscellaneous Equipment Rental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NAICS.</w:t>
      </w:r>
    </w:p>
    <w:p w:rsidR="00073AB4" w:rsidRDefault="00073AB4" w:rsidP="001C2026">
      <w:pPr>
        <w:pStyle w:val="BodyText"/>
        <w:spacing w:before="11"/>
        <w:rPr>
          <w:sz w:val="21"/>
        </w:rPr>
      </w:pPr>
    </w:p>
    <w:p w:rsidR="00073AB4" w:rsidRDefault="004A1A7C" w:rsidP="001C2026">
      <w:pPr>
        <w:pStyle w:val="Heading3"/>
        <w:ind w:right="420"/>
      </w:pPr>
      <w:r>
        <w:t>Computer Programming, Data Processing and Other Computer-Related Services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Nos. 5112, 5182, 5191, 519130 and 5415.</w:t>
      </w:r>
    </w:p>
    <w:p w:rsidR="00073AB4" w:rsidRDefault="00073AB4" w:rsidP="001C2026">
      <w:pPr>
        <w:pStyle w:val="BodyText"/>
        <w:spacing w:before="8"/>
        <w:rPr>
          <w:sz w:val="21"/>
        </w:rPr>
      </w:pPr>
    </w:p>
    <w:p w:rsidR="00073AB4" w:rsidRDefault="004A1A7C" w:rsidP="001C2026">
      <w:pPr>
        <w:pStyle w:val="Heading3"/>
      </w:pPr>
      <w:r>
        <w:t>Miscellaneous Business Services</w:t>
      </w:r>
    </w:p>
    <w:p w:rsidR="00073AB4" w:rsidRDefault="004A1A7C" w:rsidP="001C2026">
      <w:pPr>
        <w:spacing w:before="3"/>
        <w:ind w:left="120"/>
        <w:rPr>
          <w:sz w:val="20"/>
        </w:rPr>
      </w:pPr>
      <w:r>
        <w:rPr>
          <w:sz w:val="20"/>
        </w:rPr>
        <w:t>See NAICS Nos. 561410, 56142 and 51911.</w:t>
      </w:r>
    </w:p>
    <w:p w:rsidR="00073AB4" w:rsidRDefault="00073AB4" w:rsidP="001C2026">
      <w:pPr>
        <w:pStyle w:val="BodyText"/>
        <w:spacing w:before="10"/>
        <w:rPr>
          <w:sz w:val="21"/>
        </w:rPr>
      </w:pPr>
    </w:p>
    <w:p w:rsidR="00073AB4" w:rsidRDefault="004A1A7C" w:rsidP="001C2026">
      <w:pPr>
        <w:pStyle w:val="Heading3"/>
      </w:pPr>
      <w:r>
        <w:t>Offices of Real Estate Agents &amp; Brokers</w:t>
      </w:r>
    </w:p>
    <w:p w:rsidR="00073AB4" w:rsidRDefault="004A1A7C" w:rsidP="001C2026">
      <w:pPr>
        <w:spacing w:before="3"/>
        <w:ind w:left="120" w:right="525"/>
        <w:rPr>
          <w:sz w:val="20"/>
        </w:rPr>
      </w:pPr>
      <w:r>
        <w:rPr>
          <w:sz w:val="20"/>
        </w:rPr>
        <w:t>See NAICS No. 53120 (and 75% of transactions are out of state).</w:t>
      </w:r>
    </w:p>
    <w:p w:rsidR="00073AB4" w:rsidRDefault="00073AB4" w:rsidP="001C2026">
      <w:pPr>
        <w:pStyle w:val="BodyText"/>
        <w:spacing w:before="9"/>
        <w:rPr>
          <w:sz w:val="21"/>
        </w:rPr>
      </w:pPr>
    </w:p>
    <w:p w:rsidR="00073AB4" w:rsidRDefault="004A1A7C" w:rsidP="001C2026">
      <w:pPr>
        <w:pStyle w:val="Heading3"/>
      </w:pPr>
      <w:r>
        <w:t>Medical and Diagnostic Laboratories</w:t>
      </w:r>
    </w:p>
    <w:p w:rsidR="00073AB4" w:rsidRDefault="004A1A7C" w:rsidP="001C2026">
      <w:pPr>
        <w:spacing w:before="2"/>
        <w:ind w:left="120"/>
        <w:rPr>
          <w:sz w:val="20"/>
        </w:rPr>
      </w:pPr>
      <w:r>
        <w:rPr>
          <w:sz w:val="20"/>
        </w:rPr>
        <w:t>See NAICS No. 6215.</w:t>
      </w:r>
    </w:p>
    <w:p w:rsidR="00073AB4" w:rsidRDefault="00073AB4" w:rsidP="001C2026">
      <w:pPr>
        <w:pStyle w:val="BodyText"/>
        <w:spacing w:before="11"/>
        <w:rPr>
          <w:sz w:val="21"/>
        </w:rPr>
      </w:pPr>
    </w:p>
    <w:p w:rsidR="00073AB4" w:rsidRDefault="004A1A7C" w:rsidP="001C2026">
      <w:pPr>
        <w:pStyle w:val="Heading3"/>
      </w:pPr>
      <w:r>
        <w:t>Engineering, Management and Related Services</w:t>
      </w:r>
    </w:p>
    <w:p w:rsidR="00073AB4" w:rsidRDefault="004A1A7C" w:rsidP="001C2026">
      <w:pPr>
        <w:ind w:left="120"/>
        <w:rPr>
          <w:sz w:val="20"/>
        </w:rPr>
      </w:pPr>
      <w:r>
        <w:rPr>
          <w:sz w:val="20"/>
        </w:rPr>
        <w:t>See NAICS Nos. 5412, 5414-5417, 54131, 54133, 54136,</w:t>
      </w:r>
    </w:p>
    <w:p w:rsidR="00073AB4" w:rsidRDefault="004A1A7C" w:rsidP="001C2026">
      <w:pPr>
        <w:spacing w:before="1"/>
        <w:ind w:left="120"/>
        <w:rPr>
          <w:sz w:val="20"/>
        </w:rPr>
      </w:pPr>
      <w:r>
        <w:rPr>
          <w:sz w:val="20"/>
        </w:rPr>
        <w:t>54137 and 541990.</w:t>
      </w:r>
    </w:p>
    <w:p w:rsidR="00331BFE" w:rsidRDefault="00331BFE" w:rsidP="001C2026">
      <w:pPr>
        <w:rPr>
          <w:sz w:val="20"/>
        </w:rPr>
        <w:sectPr w:rsidR="00331BFE">
          <w:type w:val="continuous"/>
          <w:pgSz w:w="12240" w:h="15840"/>
          <w:pgMar w:top="720" w:right="600" w:bottom="1120" w:left="600" w:header="720" w:footer="720" w:gutter="0"/>
          <w:cols w:num="2" w:space="720" w:equalWidth="0">
            <w:col w:w="4886" w:space="874"/>
            <w:col w:w="5280"/>
          </w:cols>
        </w:sectPr>
      </w:pPr>
    </w:p>
    <w:p w:rsidR="00331BFE" w:rsidRDefault="00331BFE" w:rsidP="00331BFE">
      <w:pPr>
        <w:spacing w:before="56"/>
        <w:ind w:left="90"/>
        <w:jc w:val="center"/>
        <w:rPr>
          <w:b/>
          <w:i/>
        </w:rPr>
      </w:pPr>
    </w:p>
    <w:p w:rsidR="00D1550D" w:rsidRPr="00331BFE" w:rsidRDefault="00331BFE" w:rsidP="00331BFE">
      <w:pPr>
        <w:spacing w:before="56"/>
        <w:ind w:left="90"/>
        <w:jc w:val="center"/>
        <w:rPr>
          <w:b/>
          <w:i/>
        </w:rPr>
        <w:sectPr w:rsidR="00D1550D" w:rsidRPr="00331BFE" w:rsidSect="00331BFE">
          <w:type w:val="continuous"/>
          <w:pgSz w:w="12240" w:h="15840"/>
          <w:pgMar w:top="720" w:right="600" w:bottom="1120" w:left="600" w:header="720" w:footer="720" w:gutter="0"/>
          <w:cols w:space="874"/>
        </w:sectPr>
      </w:pPr>
      <w:r w:rsidRPr="00331BFE">
        <w:rPr>
          <w:b/>
          <w:i/>
        </w:rPr>
        <w:t>**A confidential, ten-year payout analysis can be provided upon request**</w:t>
      </w:r>
    </w:p>
    <w:p w:rsidR="00073AB4" w:rsidRDefault="00073AB4" w:rsidP="00331BFE">
      <w:pPr>
        <w:pStyle w:val="Heading1"/>
        <w:ind w:left="0"/>
        <w:rPr>
          <w:sz w:val="20"/>
        </w:rPr>
      </w:pPr>
      <w:bookmarkStart w:id="0" w:name="_GoBack"/>
      <w:bookmarkEnd w:id="0"/>
    </w:p>
    <w:sectPr w:rsidR="00073AB4">
      <w:footerReference w:type="default" r:id="rId10"/>
      <w:pgSz w:w="12240" w:h="15840"/>
      <w:pgMar w:top="10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A7C">
      <w:r>
        <w:separator/>
      </w:r>
    </w:p>
  </w:endnote>
  <w:endnote w:type="continuationSeparator" w:id="0">
    <w:p w:rsidR="00000000" w:rsidRDefault="004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B4" w:rsidRDefault="00331BF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34.8pt;width:287.3pt;height:33.25pt;z-index:-20896;mso-position-horizontal-relative:page;mso-position-vertical-relative:page" filled="f" stroked="f">
          <v:textbox style="mso-next-textbox:#_x0000_s1026" inset="0,0,0,0">
            <w:txbxContent>
              <w:p w:rsidR="00331BFE" w:rsidRDefault="00331BFE">
                <w:pPr>
                  <w:spacing w:line="223" w:lineRule="exact"/>
                  <w:ind w:left="20"/>
                  <w:rPr>
                    <w:color w:val="365F91"/>
                    <w:sz w:val="20"/>
                  </w:rPr>
                </w:pPr>
              </w:p>
              <w:p w:rsidR="00073AB4" w:rsidRDefault="004A1A7C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365F91"/>
                    <w:sz w:val="20"/>
                  </w:rPr>
                  <w:t>Quality Jobs Program</w:t>
                </w:r>
              </w:p>
              <w:p w:rsidR="00073AB4" w:rsidRDefault="004A1A7C">
                <w:pPr>
                  <w:ind w:left="20"/>
                  <w:rPr>
                    <w:sz w:val="20"/>
                  </w:rPr>
                </w:pPr>
                <w:r>
                  <w:rPr>
                    <w:color w:val="365F91"/>
                    <w:sz w:val="20"/>
                  </w:rPr>
                  <w:t>For additional information, please call 405-815-5123 or 800- 588-5959</w:t>
                </w:r>
              </w:p>
            </w:txbxContent>
          </v:textbox>
          <w10:wrap anchorx="page" anchory="page"/>
        </v:shape>
      </w:pict>
    </w:r>
    <w:r w:rsidR="00D50662">
      <w:pict>
        <v:shape id="_x0000_s1025" type="#_x0000_t202" style="position:absolute;margin-left:496.3pt;margin-top:747.75pt;width:63.35pt;height:23.8pt;z-index:-20872;mso-position-horizontal-relative:page;mso-position-vertical-relative:page" filled="f" stroked="f">
          <v:textbox style="mso-next-textbox:#_x0000_s1025" inset="0,0,0,0">
            <w:txbxContent>
              <w:p w:rsidR="00073AB4" w:rsidRDefault="001C2026" w:rsidP="00D5066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365F91"/>
                    <w:sz w:val="20"/>
                  </w:rPr>
                  <w:t>February</w:t>
                </w:r>
                <w:r w:rsidR="004A1A7C">
                  <w:rPr>
                    <w:color w:val="365F91"/>
                    <w:sz w:val="20"/>
                  </w:rPr>
                  <w:t>, 201</w:t>
                </w:r>
                <w:r>
                  <w:rPr>
                    <w:color w:val="365F91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B4" w:rsidRDefault="00073A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A7C">
      <w:r>
        <w:separator/>
      </w:r>
    </w:p>
  </w:footnote>
  <w:footnote w:type="continuationSeparator" w:id="0">
    <w:p w:rsidR="00000000" w:rsidRDefault="004A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6909"/>
      <w:docPartObj>
        <w:docPartGallery w:val="Watermarks"/>
        <w:docPartUnique/>
      </w:docPartObj>
    </w:sdtPr>
    <w:sdtContent>
      <w:p w:rsidR="00A85B8A" w:rsidRDefault="00A85B8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188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5DC"/>
    <w:multiLevelType w:val="hybridMultilevel"/>
    <w:tmpl w:val="0408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4D6025"/>
    <w:multiLevelType w:val="hybridMultilevel"/>
    <w:tmpl w:val="4F307960"/>
    <w:lvl w:ilvl="0" w:tplc="D2A47A2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42C392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69EC109C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3" w:tplc="9DE4C542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4" w:tplc="042C832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en-US"/>
      </w:rPr>
    </w:lvl>
    <w:lvl w:ilvl="5" w:tplc="70724592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49DE1E04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7" w:tplc="EA1EFDEC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8" w:tplc="D4BCF080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A584EAB"/>
    <w:multiLevelType w:val="hybridMultilevel"/>
    <w:tmpl w:val="7638C168"/>
    <w:lvl w:ilvl="0" w:tplc="43DA67F2">
      <w:numFmt w:val="bullet"/>
      <w:lvlText w:val="•"/>
      <w:lvlJc w:val="left"/>
      <w:pPr>
        <w:ind w:left="53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8DC746E">
      <w:numFmt w:val="bullet"/>
      <w:lvlText w:val="•"/>
      <w:lvlJc w:val="left"/>
      <w:pPr>
        <w:ind w:left="1590" w:hanging="161"/>
      </w:pPr>
      <w:rPr>
        <w:rFonts w:hint="default"/>
        <w:lang w:val="en-US" w:eastAsia="en-US" w:bidi="en-US"/>
      </w:rPr>
    </w:lvl>
    <w:lvl w:ilvl="2" w:tplc="0C6E2FE6">
      <w:numFmt w:val="bullet"/>
      <w:lvlText w:val="•"/>
      <w:lvlJc w:val="left"/>
      <w:pPr>
        <w:ind w:left="2640" w:hanging="161"/>
      </w:pPr>
      <w:rPr>
        <w:rFonts w:hint="default"/>
        <w:lang w:val="en-US" w:eastAsia="en-US" w:bidi="en-US"/>
      </w:rPr>
    </w:lvl>
    <w:lvl w:ilvl="3" w:tplc="DF5C501C">
      <w:numFmt w:val="bullet"/>
      <w:lvlText w:val="•"/>
      <w:lvlJc w:val="left"/>
      <w:pPr>
        <w:ind w:left="3690" w:hanging="161"/>
      </w:pPr>
      <w:rPr>
        <w:rFonts w:hint="default"/>
        <w:lang w:val="en-US" w:eastAsia="en-US" w:bidi="en-US"/>
      </w:rPr>
    </w:lvl>
    <w:lvl w:ilvl="4" w:tplc="D4C66FF8">
      <w:numFmt w:val="bullet"/>
      <w:lvlText w:val="•"/>
      <w:lvlJc w:val="left"/>
      <w:pPr>
        <w:ind w:left="4740" w:hanging="161"/>
      </w:pPr>
      <w:rPr>
        <w:rFonts w:hint="default"/>
        <w:lang w:val="en-US" w:eastAsia="en-US" w:bidi="en-US"/>
      </w:rPr>
    </w:lvl>
    <w:lvl w:ilvl="5" w:tplc="EAD48832">
      <w:numFmt w:val="bullet"/>
      <w:lvlText w:val="•"/>
      <w:lvlJc w:val="left"/>
      <w:pPr>
        <w:ind w:left="5790" w:hanging="161"/>
      </w:pPr>
      <w:rPr>
        <w:rFonts w:hint="default"/>
        <w:lang w:val="en-US" w:eastAsia="en-US" w:bidi="en-US"/>
      </w:rPr>
    </w:lvl>
    <w:lvl w:ilvl="6" w:tplc="895060F6">
      <w:numFmt w:val="bullet"/>
      <w:lvlText w:val="•"/>
      <w:lvlJc w:val="left"/>
      <w:pPr>
        <w:ind w:left="6840" w:hanging="161"/>
      </w:pPr>
      <w:rPr>
        <w:rFonts w:hint="default"/>
        <w:lang w:val="en-US" w:eastAsia="en-US" w:bidi="en-US"/>
      </w:rPr>
    </w:lvl>
    <w:lvl w:ilvl="7" w:tplc="582C109A">
      <w:numFmt w:val="bullet"/>
      <w:lvlText w:val="•"/>
      <w:lvlJc w:val="left"/>
      <w:pPr>
        <w:ind w:left="7890" w:hanging="161"/>
      </w:pPr>
      <w:rPr>
        <w:rFonts w:hint="default"/>
        <w:lang w:val="en-US" w:eastAsia="en-US" w:bidi="en-US"/>
      </w:rPr>
    </w:lvl>
    <w:lvl w:ilvl="8" w:tplc="224061A6">
      <w:numFmt w:val="bullet"/>
      <w:lvlText w:val="•"/>
      <w:lvlJc w:val="left"/>
      <w:pPr>
        <w:ind w:left="8940" w:hanging="1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3AB4"/>
    <w:rsid w:val="00073AB4"/>
    <w:rsid w:val="000A76A6"/>
    <w:rsid w:val="001C2026"/>
    <w:rsid w:val="00331BFE"/>
    <w:rsid w:val="0035684B"/>
    <w:rsid w:val="004A1A7C"/>
    <w:rsid w:val="004F12EE"/>
    <w:rsid w:val="007D295A"/>
    <w:rsid w:val="009E1F5E"/>
    <w:rsid w:val="00A85B8A"/>
    <w:rsid w:val="00D1550D"/>
    <w:rsid w:val="00D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5A99BB"/>
  <w15:docId w15:val="{65EF34A9-C205-4456-9D87-60FB9DE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6"/>
      <w:ind w:left="43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2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 w:line="218" w:lineRule="exact"/>
      <w:ind w:left="518"/>
    </w:pPr>
  </w:style>
  <w:style w:type="paragraph" w:styleId="Header">
    <w:name w:val="header"/>
    <w:basedOn w:val="Normal"/>
    <w:link w:val="HeaderChar"/>
    <w:uiPriority w:val="99"/>
    <w:unhideWhenUsed/>
    <w:rsid w:val="001C2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2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6"/>
    <w:rPr>
      <w:rFonts w:ascii="Calibri" w:eastAsia="Calibri" w:hAnsi="Calibri" w:cs="Calibri"/>
      <w:lang w:bidi="en-US"/>
    </w:rPr>
  </w:style>
  <w:style w:type="paragraph" w:customStyle="1" w:styleId="TaxGuide2">
    <w:name w:val="Tax Guide 2"/>
    <w:link w:val="TaxGuide2Char"/>
    <w:qFormat/>
    <w:rsid w:val="001C2026"/>
    <w:pPr>
      <w:widowControl/>
      <w:autoSpaceDE/>
      <w:autoSpaceDN/>
    </w:pPr>
    <w:rPr>
      <w:rFonts w:ascii="Calibri" w:eastAsiaTheme="majorEastAsia" w:hAnsi="Calibri" w:cstheme="majorBidi"/>
      <w:b/>
      <w:bCs/>
      <w:iCs/>
      <w:color w:val="000000" w:themeColor="text1"/>
      <w:sz w:val="28"/>
      <w:szCs w:val="28"/>
      <w:u w:val="single"/>
      <w:lang w:bidi="en-US"/>
    </w:rPr>
  </w:style>
  <w:style w:type="character" w:customStyle="1" w:styleId="TaxGuide2Char">
    <w:name w:val="Tax Guide 2 Char"/>
    <w:basedOn w:val="DefaultParagraphFont"/>
    <w:link w:val="TaxGuide2"/>
    <w:rsid w:val="001C2026"/>
    <w:rPr>
      <w:rFonts w:ascii="Calibri" w:eastAsiaTheme="majorEastAsia" w:hAnsi="Calibri" w:cstheme="majorBidi"/>
      <w:b/>
      <w:bCs/>
      <w:iCs/>
      <w:color w:val="000000" w:themeColor="text1"/>
      <w:sz w:val="28"/>
      <w:szCs w:val="28"/>
      <w:u w:val="sing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Sandoval, Nikela</dc:creator>
  <cp:lastModifiedBy>Vicki Angell</cp:lastModifiedBy>
  <cp:revision>3</cp:revision>
  <dcterms:created xsi:type="dcterms:W3CDTF">2018-12-27T17:52:00Z</dcterms:created>
  <dcterms:modified xsi:type="dcterms:W3CDTF">2018-12-27T18:34:00Z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2018-12-27T00:00:00Z</vt:filetime>
  </property>
</Properties>
</file>